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" w:hAnsi="仿宋" w:eastAsia="仿宋" w:cs="仿宋"/>
          <w:b/>
          <w:bCs/>
          <w:kern w:val="36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36"/>
          <w:sz w:val="32"/>
          <w:szCs w:val="32"/>
        </w:rPr>
        <w:t>附件1：</w:t>
      </w:r>
    </w:p>
    <w:p>
      <w:pPr>
        <w:widowControl/>
        <w:spacing w:line="580" w:lineRule="exact"/>
        <w:ind w:firstLine="640"/>
        <w:jc w:val="center"/>
        <w:rPr>
          <w:rFonts w:asciiTheme="majorEastAsia" w:hAnsiTheme="majorEastAsia" w:eastAsiaTheme="majorEastAsia" w:cstheme="majorEastAsia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kern w:val="0"/>
          <w:sz w:val="44"/>
          <w:szCs w:val="44"/>
        </w:rPr>
        <w:t>山东省教育科学“十三五”规划</w:t>
      </w:r>
    </w:p>
    <w:p>
      <w:pPr>
        <w:widowControl/>
        <w:spacing w:line="580" w:lineRule="exact"/>
        <w:ind w:firstLine="640"/>
        <w:jc w:val="center"/>
        <w:rPr>
          <w:rFonts w:asciiTheme="majorEastAsia" w:hAnsiTheme="majorEastAsia" w:eastAsiaTheme="majorEastAsia" w:cstheme="majorEastAsia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kern w:val="0"/>
          <w:sz w:val="44"/>
          <w:szCs w:val="44"/>
        </w:rPr>
        <w:t>2020年度课题选题指南</w:t>
      </w:r>
    </w:p>
    <w:p>
      <w:pPr>
        <w:pStyle w:val="2"/>
        <w:spacing w:line="580" w:lineRule="exact"/>
        <w:ind w:left="420" w:leftChars="200"/>
        <w:rPr>
          <w:rFonts w:ascii="仿宋" w:hAnsi="仿宋" w:eastAsia="仿宋" w:cs="仿宋"/>
          <w:b/>
          <w:bCs w:val="0"/>
          <w:sz w:val="32"/>
          <w:szCs w:val="32"/>
        </w:rPr>
      </w:pPr>
    </w:p>
    <w:p>
      <w:pPr>
        <w:numPr>
          <w:ilvl w:val="0"/>
          <w:numId w:val="1"/>
        </w:numPr>
        <w:spacing w:line="58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重大招标课题（题目不得变动）</w:t>
      </w:r>
    </w:p>
    <w:p>
      <w:pPr>
        <w:spacing w:line="58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1.山东省高校创新力评价及其提升策略研究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2.新时代山东省高等师范教育深化改革研究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3.山东省“双通制”职业教育体系构建研究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4.山东省高水平职业院校和高水平专业建设研究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5.“十四五”山东省学龄人口变动与学校布局调整预测研究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6.山东省深化新高考改革方案的跟踪评估与动态调整研究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7.人工智能与教育教学深度变革研究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8.山东省中心城市教育承载力测算及资源优化配置研究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9.针对重大公共突发事件的教育责任及应急防控体系研究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10.山东省教育现代化2035目标监测体系及实施路径研究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11.基于大数据分析的新高考改革考生志愿填报指导研究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12.山东高考综合改革实施效果研究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numPr>
          <w:ilvl w:val="0"/>
          <w:numId w:val="1"/>
        </w:numPr>
        <w:spacing w:line="58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重点研究课题（本25个题目不得变动，其他可自拟）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1.山东省自贸区建设与人才培养体制机制研究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2.山东省公费师范生培养质量评价标准及监测研究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3.山东省高校意识形态安全监测研究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4.山东省学位与研究生教育的规模与结构研究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5.山东省职业教育专业建设与产业发展的深度融合研究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6.山东省学前教育普及普惠目标与推进路径研究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7.城镇居住区配套幼</w:t>
      </w:r>
      <w:bookmarkStart w:id="5" w:name="_GoBack"/>
      <w:bookmarkEnd w:id="5"/>
      <w:r>
        <w:rPr>
          <w:rFonts w:hint="eastAsia" w:ascii="仿宋" w:hAnsi="仿宋" w:eastAsia="仿宋" w:cs="仿宋"/>
          <w:sz w:val="32"/>
          <w:szCs w:val="32"/>
        </w:rPr>
        <w:t>儿园资源保障研究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8.山东省中小学教师惩戒行为的规范与监管研究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9.中小学阅读课程的标准构建与内容筛选研究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10.基础教育集团化办学政策风险评估及控制策略研究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11.中小学教师绩效工资制度实施情况与改革研究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12.山东省基础教育国际课程实施状况评估研究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13.山东省中小学教师招聘现状与改革研究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14.中小学生心理危机干预的服务体系建设研究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15.县域教育治理体系和治理能力现代化研究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16.中华优秀传统文化地方课程建设与教学实践研究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17.深化中小学校长职级制改革路径研究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18.义务教育教师县管校聘管理运行机制优化研究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19.中小学单元整体设计的教学改革研究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20.普通高中育人范式转型的政策支持体系研究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21.新时代山东省中小学劳动教育体系的实践研究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22.山东省特殊教育发展保障机制研究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23.山东省智慧教育实验及实践效果的评估研究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24.山东省基础教育信息化公共服务体系建设研究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25.山东省教科研评价制度改革研究</w:t>
      </w:r>
    </w:p>
    <w:p>
      <w:pPr>
        <w:numPr>
          <w:ilvl w:val="0"/>
          <w:numId w:val="1"/>
        </w:numPr>
        <w:spacing w:line="58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专项课题（题目不得变动）</w:t>
      </w:r>
    </w:p>
    <w:p>
      <w:pPr>
        <w:widowControl/>
        <w:spacing w:line="580" w:lineRule="exact"/>
        <w:ind w:firstLine="480" w:firstLineChars="15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教育招生考试专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项（重点15项，一般10项）</w:t>
      </w:r>
    </w:p>
    <w:p>
      <w:pPr>
        <w:widowControl/>
        <w:shd w:val="clear" w:color="auto" w:fill="FFFFFF"/>
        <w:spacing w:line="580" w:lineRule="exact"/>
        <w:ind w:left="482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1.重点课题（5万）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（1）教育考试的智能阅卷技术与管理模式研究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（2）教育招生考试标准化考点建设及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</w:rPr>
        <w:t>关键技术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（3）新高考改革背景下的特殊类型招考模式研究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（4）春季高考技能考试内容与方式优化研究</w:t>
      </w:r>
    </w:p>
    <w:p>
      <w:pPr>
        <w:spacing w:line="58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2.重点课题（2万）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（5）评卷管理与标准化体系研究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（6）命题信息化平台建设研究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（7）命题质量优化机制研究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（8）招生考试信息安全体系建设研究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（9）命题理论及试题库建设策略研究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（10）教育招生考试模式现状与改革路径研究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（11）教育测量及考试评价机制研究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（12）教育招生考试机构内部控制建设研究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（13）教育考试经费使用绩效考核评价研究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（14）教育招生考试新技术研究与应用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（15）教育招生考试档案管理研究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（16）教育招生考试舆情监控体系研究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（17）教育招生考试违规处理研究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（18）无纸化考试技术及管理研究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（19）教育招生考试发展及质量保证体系研究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（20）教育招生考试社会助学发展策略研究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（21）安全保密机制优化策略研究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（22）高考选科与大学专业适配性科学研究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（23）高考选科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</w:rPr>
        <w:t>与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大学生职业生涯发展规划研究</w:t>
      </w:r>
    </w:p>
    <w:p>
      <w:pPr>
        <w:spacing w:line="58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3.一般课题（1万）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（1）多部门共建考试安全保密体系建设研究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（2）多部门协作考试环境综合治理研究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（3）教育招生考试机构财务管理研究</w:t>
      </w:r>
    </w:p>
    <w:p>
      <w:pPr>
        <w:widowControl/>
        <w:shd w:val="clear" w:color="auto" w:fill="FFFFFF"/>
        <w:spacing w:line="580" w:lineRule="exact"/>
        <w:ind w:firstLine="560" w:firstLineChars="200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（4）新高考背景下招生考试信访工作的特点和应对策略研究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（5）自命题质量保障体系研究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（6）新高考改革对其他类别招生考试的影响与应对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（7）新高考多元化招生制度研究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（8）各省教育招生制度改革方案比较研究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（9）考试招生制度改革公平问题研究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（10）综合评价与分数模型招生应用研究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（11）新形势下命题机制研究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（二）高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等教育英语教学专项（一般30项，自筹20项）</w:t>
      </w:r>
    </w:p>
    <w:p>
      <w:pPr>
        <w:widowControl/>
        <w:shd w:val="clear" w:color="auto" w:fill="FFFFFF"/>
        <w:spacing w:line="58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32"/>
          <w:szCs w:val="32"/>
        </w:rPr>
        <w:t>1.大学本科外语专项（一般10项，自筹10项）</w:t>
      </w:r>
    </w:p>
    <w:p>
      <w:pPr>
        <w:widowControl/>
        <w:shd w:val="clear" w:color="auto" w:fill="FFFFFF"/>
        <w:spacing w:line="580" w:lineRule="exact"/>
        <w:ind w:firstLine="560" w:firstLineChars="200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（1）基于重大突发公共事件的大学外语教师信息传播责任研究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（2）思政要素融入外语课程体系研究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（3）应用型高校大学英语教学改革研究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（4）大学生英语核心素养研究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（5）高校专门用途英语课程体系探索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（6）艺体类高校大学英语教学策略研究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（7）人工智能背景下外语教学模式改革研究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（8）高等学校英语课程评价方法创新研究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（9）大学生英语运用能力与职业发展关系的实证研究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（10）新文科背景下外语教学改革研究</w:t>
      </w:r>
    </w:p>
    <w:p>
      <w:pPr>
        <w:widowControl/>
        <w:shd w:val="clear" w:color="auto" w:fill="FFFFFF"/>
        <w:spacing w:line="580" w:lineRule="exact"/>
        <w:ind w:firstLine="560" w:firstLineChars="200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（11）中华优秀传统文化的对外翻译课程开发与传播效能研究</w:t>
      </w:r>
    </w:p>
    <w:p>
      <w:pPr>
        <w:widowControl/>
        <w:shd w:val="clear" w:color="auto" w:fill="FFFFFF"/>
        <w:spacing w:line="580" w:lineRule="exact"/>
        <w:ind w:firstLine="560" w:firstLineChars="200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（12）虚拟仿真技术运用于高校外语实训课程的效能评价研究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（13）高校英语混合式教学效能的实证研究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（14）人工智能促进语言深度学习的方式研究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（15）中国外语微课大赛对教学产生反拨作用的实效研究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（16）中国外语微课大赛成果转化机制与效能研究</w:t>
      </w:r>
    </w:p>
    <w:p>
      <w:pPr>
        <w:widowControl/>
        <w:shd w:val="clear" w:color="auto" w:fill="FFFFFF"/>
        <w:spacing w:line="580" w:lineRule="exact"/>
        <w:ind w:firstLine="560" w:firstLineChars="200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（17）“互联网+”背景下大学生英语学习厌倦情绪测评与调适研究</w:t>
      </w:r>
    </w:p>
    <w:p>
      <w:pPr>
        <w:widowControl/>
        <w:shd w:val="clear" w:color="auto" w:fill="FFFFFF"/>
        <w:spacing w:line="580" w:lineRule="exact"/>
        <w:ind w:firstLine="560" w:firstLineChars="200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（18）重大疫情背景下高校线上英语教学实效评价与改进策略研究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（19）大学外语数字化教学平台协同建设机制研究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（20）大学英语深度阅读教学研究</w:t>
      </w:r>
    </w:p>
    <w:p>
      <w:pPr>
        <w:widowControl/>
        <w:shd w:val="clear" w:color="auto" w:fill="FFFFFF"/>
        <w:spacing w:line="580" w:lineRule="exact"/>
        <w:ind w:firstLine="643" w:firstLineChars="200"/>
        <w:rPr>
          <w:rFonts w:ascii="仿宋" w:hAnsi="仿宋" w:eastAsia="仿宋" w:cs="仿宋"/>
          <w:b/>
          <w:bCs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32"/>
          <w:szCs w:val="32"/>
        </w:rPr>
        <w:t>2.高职高专大外专项（一般20项，自筹10项）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（1）以就业为导向的高职英语教学改革研究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（2）基于职业资格标准的高职英语课程改革研究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（3）适应区域发展的高职英语教学改革研究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（4）基于“基础、行业、实训一体化”的高职英语教学实践研究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（5）中高职英语课程衔接研究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（6）人工智能背景下高职外语教师信息素养研究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（17）人工智能背景下高职外语教师专业发展模式研究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（18）高职英语课程思政实施的路径优化研究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（19）高职学生英语水平评价标准改革研究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（20）高职外语数字化教学平台协同建设机制研究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（21）高职外语数字化教学资源开发研究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（22）高职外语教材专业适用性评价与优化研究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（23）高职外语课程建设的国际比较研究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（24）以学生为中心的高职外语教学变革研究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（25）高职外语实践实训教学改革研究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（26）人工智能背景下高职学生外语学习方式变革研究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（27）高职英语混合式教学模式创新研究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（28）高职专业外语课程内容选择研究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（29）高职学生外语个性化学习资源开发研究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（30）山东省高职外语教学的变革历程与实践经验研究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（三）中学（含中职）英语阅读教学专项（一般20项，自筹20项）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（1）中学英语阅读教学目标进阶研究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（2）山东省中学生英语阅读能力现状调查研究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（3）中学英语阅读教学实验学校/示范基地建设研究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（4）中学英语阅读形成性评价研究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 xml:space="preserve">（5）中学英语阅读课程建设研究 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（6）中学英语阅读“教-学-评”一致性研究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（7）学校-教师-家长“三维一体”的中学英语阅读教学改革研究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（8）中学英语课堂阅读教方法创新研究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（9）中学英语混合教学模式创新研究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（10）基于移动互联网的中学生英语阅读社群构建研究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（11）中学英语阅读教学中同义词语义网络建构研究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（12）中学生英语阅读速度与效率的自我调控研究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（13）中学英语阅读教研模式改革研究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 xml:space="preserve">（14）中学英语读后续写技巧与方法研究 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（15）中学英语阅读与汉语阅读策略比较研究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（16）整体阅读</w:t>
      </w:r>
      <w:bookmarkStart w:id="0" w:name="OLE_LINK2"/>
      <w:bookmarkStart w:id="1" w:name="OLE_LINK1"/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视阈下的英语叙事文本结构教学研究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（17）任务驱动的中学生阅读复述能力提升研究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bookmarkStart w:id="2" w:name="OLE_LINK4"/>
      <w:bookmarkStart w:id="3" w:name="OLE_LINK5"/>
      <w:bookmarkStart w:id="4" w:name="OLE_LINK3"/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（18）运用思维导图培养中学生阅读水平的研究</w:t>
      </w:r>
    </w:p>
    <w:p>
      <w:pPr>
        <w:widowControl/>
        <w:shd w:val="clear" w:color="auto" w:fill="FFFFFF"/>
        <w:spacing w:line="580" w:lineRule="exact"/>
        <w:ind w:firstLine="548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3"/>
          <w:kern w:val="0"/>
          <w:sz w:val="32"/>
          <w:szCs w:val="32"/>
        </w:rPr>
        <w:t>（19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）角色扮演在阅读教学中促进学生语言使用与交际能力提升的研究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（20）中学生撰写故事概要技巧与方法的研究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（21）英语课堂通过“看图说话”巩固学生阅读效果的研究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（22）中学生英语“完整阅读”教学改革研究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 xml:space="preserve">（23）中学生英语全景扩读的理论与实践研究 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（24）中学生英语阅读自测能力研究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（25）中学生英语阅读叙事能力研究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（26）中学英语写作中过渡词语与信号词运用研究</w:t>
      </w:r>
    </w:p>
    <w:p>
      <w:pPr>
        <w:widowControl/>
        <w:shd w:val="clear" w:color="auto" w:fill="FFFFFF"/>
        <w:spacing w:line="580" w:lineRule="exact"/>
        <w:ind w:firstLine="548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3"/>
          <w:kern w:val="0"/>
          <w:sz w:val="32"/>
          <w:szCs w:val="32"/>
        </w:rPr>
        <w:t>（27）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中学英语中人物言语、感受和行为“三维一体”分析人物品格研究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（28）中学生英语阅读中辨析故事主线的能力研究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（29）中学生英语阅读中诠释性问题的能力研究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（30）象征主义视角下的英语阅读教学策略研究</w:t>
      </w:r>
    </w:p>
    <w:bookmarkEnd w:id="0"/>
    <w:bookmarkEnd w:id="1"/>
    <w:bookmarkEnd w:id="2"/>
    <w:bookmarkEnd w:id="3"/>
    <w:bookmarkEnd w:id="4"/>
    <w:p>
      <w:pPr>
        <w:widowControl/>
        <w:shd w:val="clear" w:color="auto" w:fill="FFFFFF"/>
        <w:spacing w:line="580" w:lineRule="exact"/>
        <w:ind w:left="638" w:leftChars="304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（31）山东省中职公共英语教学状况调查研究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（32）中职英语教学管理改革及创新研究</w:t>
      </w:r>
    </w:p>
    <w:p>
      <w:pPr>
        <w:widowControl/>
        <w:shd w:val="clear" w:color="auto" w:fill="FFFFFF"/>
        <w:spacing w:line="580" w:lineRule="exact"/>
        <w:ind w:left="638" w:leftChars="304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（33）中职英语课程体系建设和发展研究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（34）中职英语精品课程、特色课程建设研究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（35）中职英语网络化教学手段和方法创新研究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（36）中职英语教材建设研究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（37）中职学生英语自主学习研究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（38）中职英语教学评估工具改革研究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（39）中职公共英语分级教学策略研究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（40）中高职衔接教育中职阶段公共英语教学研究</w:t>
      </w:r>
    </w:p>
    <w:p>
      <w:pPr>
        <w:widowControl/>
        <w:spacing w:line="580" w:lineRule="exact"/>
        <w:ind w:firstLine="480" w:firstLineChars="15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（四）教育装备及学校后勤管理专项（重点5项，一般20项）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32"/>
          <w:szCs w:val="32"/>
        </w:rPr>
        <w:t>1.重点课题（2万）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（1）基于核心素养的中小学实验教学管理研究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（2）学校图书馆建设与学科教学融合的研究</w:t>
      </w:r>
    </w:p>
    <w:p>
      <w:pPr>
        <w:widowControl/>
        <w:shd w:val="clear" w:color="auto" w:fill="FFFFFF"/>
        <w:spacing w:line="580" w:lineRule="exact"/>
        <w:ind w:left="638" w:leftChars="304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（3）虚拟仿真技术嵌入实验教学中的应用研究</w:t>
      </w:r>
    </w:p>
    <w:p>
      <w:pPr>
        <w:widowControl/>
        <w:shd w:val="clear" w:color="auto" w:fill="FFFFFF"/>
        <w:spacing w:line="580" w:lineRule="exact"/>
        <w:ind w:left="638" w:leftChars="304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（4）高校餐饮智能服务背景下餐厅管理模式创新研究</w:t>
      </w:r>
    </w:p>
    <w:p>
      <w:pPr>
        <w:widowControl/>
        <w:shd w:val="clear" w:color="auto" w:fill="FFFFFF"/>
        <w:spacing w:line="580" w:lineRule="exact"/>
        <w:ind w:left="638" w:leftChars="304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（5）新时代中小学综合实践基地课程体系创新研究</w:t>
      </w:r>
    </w:p>
    <w:p>
      <w:pPr>
        <w:ind w:firstLine="643" w:firstLineChars="200"/>
        <w:rPr>
          <w:rFonts w:ascii="仿宋" w:hAnsi="仿宋" w:eastAsia="仿宋" w:cs="仿宋"/>
          <w:b/>
          <w:bCs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32"/>
          <w:szCs w:val="32"/>
        </w:rPr>
        <w:t>2.一般课题（1万）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（1）基于学科核心素养的实验与实践性教学改革研究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（2）中学生实验操作能力评价标准与考核方法研究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（3）小学生科学认知能力提升与教学策略实施研究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（4）《初中物理教学装备配置标准》等6个学科配置标准配备及教学应用研究（任选1科）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（5）普通高中育人方式改革与教育装备配置优化研究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（6）中小学教育装备采购质量管控体系构建研究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（7）县域内中小学综合阅览区建设研究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（8）校内与校外综合实践活动课程装备配置衔接研究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（9）中小学国学体验馆课程资源配置研究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（10）“大数据”技术在教育管理和课堂教学中的应用研究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（11）新时代高校后勤保障体系顶层设计与配套政策研究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（12）学校后勤服务外包监管与风险防范研究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（13）中小学集中供餐模式及发展趋势研究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（14）学校后勤的劳动育人功能开发研究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（15）贫困地区农产品与高校食堂物资供应链衔接研究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（16）人工智能背景下校园食品安全监控研究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（17）中小学食堂大宗食材配送模式优化研究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（18）新时期高校后勤信息化建设研究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（19）高校后勤标准化建设现状调查研究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="仿宋" w:hAnsi="仿宋" w:eastAsia="仿宋" w:cs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 xml:space="preserve">（20）人工智能教育装备与教育教学深度融合研究 </w:t>
      </w:r>
    </w:p>
    <w:p>
      <w:pPr>
        <w:spacing w:line="580" w:lineRule="exact"/>
        <w:jc w:val="lef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04CC43"/>
    <w:multiLevelType w:val="singleLevel"/>
    <w:tmpl w:val="9B04CC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5F7B6DBB"/>
    <w:rsid w:val="000015A2"/>
    <w:rsid w:val="000059BC"/>
    <w:rsid w:val="00035BF4"/>
    <w:rsid w:val="0004134D"/>
    <w:rsid w:val="0005591B"/>
    <w:rsid w:val="0008113A"/>
    <w:rsid w:val="000935F6"/>
    <w:rsid w:val="00093A15"/>
    <w:rsid w:val="000A031C"/>
    <w:rsid w:val="000A357D"/>
    <w:rsid w:val="000B50A2"/>
    <w:rsid w:val="000E7EA3"/>
    <w:rsid w:val="00102805"/>
    <w:rsid w:val="00132A71"/>
    <w:rsid w:val="00170AA4"/>
    <w:rsid w:val="001D59B0"/>
    <w:rsid w:val="00275B67"/>
    <w:rsid w:val="002832E3"/>
    <w:rsid w:val="002A2DF5"/>
    <w:rsid w:val="002B06F7"/>
    <w:rsid w:val="00387598"/>
    <w:rsid w:val="003A32FF"/>
    <w:rsid w:val="004159A7"/>
    <w:rsid w:val="00450499"/>
    <w:rsid w:val="0047274A"/>
    <w:rsid w:val="004D7A69"/>
    <w:rsid w:val="004E5EDA"/>
    <w:rsid w:val="00502FE8"/>
    <w:rsid w:val="00524B84"/>
    <w:rsid w:val="00557104"/>
    <w:rsid w:val="00596E33"/>
    <w:rsid w:val="005D7269"/>
    <w:rsid w:val="005E0B90"/>
    <w:rsid w:val="00610E87"/>
    <w:rsid w:val="00633A01"/>
    <w:rsid w:val="006B3A71"/>
    <w:rsid w:val="0071249A"/>
    <w:rsid w:val="00730A06"/>
    <w:rsid w:val="00783705"/>
    <w:rsid w:val="007866F2"/>
    <w:rsid w:val="007966C0"/>
    <w:rsid w:val="008002B0"/>
    <w:rsid w:val="00875E6F"/>
    <w:rsid w:val="00885829"/>
    <w:rsid w:val="008F5A83"/>
    <w:rsid w:val="00910ABC"/>
    <w:rsid w:val="009370EF"/>
    <w:rsid w:val="0094159C"/>
    <w:rsid w:val="009540EF"/>
    <w:rsid w:val="00A126FB"/>
    <w:rsid w:val="00A408C4"/>
    <w:rsid w:val="00A6426A"/>
    <w:rsid w:val="00AA7241"/>
    <w:rsid w:val="00B2353D"/>
    <w:rsid w:val="00C44321"/>
    <w:rsid w:val="00D02836"/>
    <w:rsid w:val="00D12E63"/>
    <w:rsid w:val="00DB1FC8"/>
    <w:rsid w:val="00DD2F14"/>
    <w:rsid w:val="00E15B82"/>
    <w:rsid w:val="00EF377D"/>
    <w:rsid w:val="00F002D6"/>
    <w:rsid w:val="00F36092"/>
    <w:rsid w:val="00F42915"/>
    <w:rsid w:val="00F454AE"/>
    <w:rsid w:val="00F80EBF"/>
    <w:rsid w:val="00FA7D5E"/>
    <w:rsid w:val="01883527"/>
    <w:rsid w:val="02621FCB"/>
    <w:rsid w:val="029D2188"/>
    <w:rsid w:val="02C4137D"/>
    <w:rsid w:val="03AA0AF8"/>
    <w:rsid w:val="05433260"/>
    <w:rsid w:val="05D512E7"/>
    <w:rsid w:val="0616740C"/>
    <w:rsid w:val="07D34B67"/>
    <w:rsid w:val="07E4522A"/>
    <w:rsid w:val="08A030D0"/>
    <w:rsid w:val="0A162FB7"/>
    <w:rsid w:val="0A3E277F"/>
    <w:rsid w:val="0B486DA7"/>
    <w:rsid w:val="0C4437EF"/>
    <w:rsid w:val="0C9A7C64"/>
    <w:rsid w:val="0CB44402"/>
    <w:rsid w:val="0D757062"/>
    <w:rsid w:val="0DB921B0"/>
    <w:rsid w:val="0E032C1C"/>
    <w:rsid w:val="0E8F28C9"/>
    <w:rsid w:val="10D97FD7"/>
    <w:rsid w:val="11641211"/>
    <w:rsid w:val="12480629"/>
    <w:rsid w:val="127815A3"/>
    <w:rsid w:val="135933EE"/>
    <w:rsid w:val="13624577"/>
    <w:rsid w:val="13C371D7"/>
    <w:rsid w:val="13C95187"/>
    <w:rsid w:val="14957465"/>
    <w:rsid w:val="14C15236"/>
    <w:rsid w:val="14D55518"/>
    <w:rsid w:val="14DF6E76"/>
    <w:rsid w:val="151C59D3"/>
    <w:rsid w:val="15B96B43"/>
    <w:rsid w:val="1616565E"/>
    <w:rsid w:val="169A5E3E"/>
    <w:rsid w:val="170F3B43"/>
    <w:rsid w:val="17AF3457"/>
    <w:rsid w:val="18517889"/>
    <w:rsid w:val="18EF494D"/>
    <w:rsid w:val="190A7E9A"/>
    <w:rsid w:val="19350EFF"/>
    <w:rsid w:val="1AF832D0"/>
    <w:rsid w:val="1F5D086D"/>
    <w:rsid w:val="1FD010D3"/>
    <w:rsid w:val="23964228"/>
    <w:rsid w:val="239E3F97"/>
    <w:rsid w:val="255E6901"/>
    <w:rsid w:val="26C431B3"/>
    <w:rsid w:val="27290604"/>
    <w:rsid w:val="2746646D"/>
    <w:rsid w:val="278D4BA5"/>
    <w:rsid w:val="27DE3343"/>
    <w:rsid w:val="2AC42293"/>
    <w:rsid w:val="2B3D7A63"/>
    <w:rsid w:val="2B512874"/>
    <w:rsid w:val="2CD21345"/>
    <w:rsid w:val="2DE66AEF"/>
    <w:rsid w:val="2E8063CD"/>
    <w:rsid w:val="308F38BB"/>
    <w:rsid w:val="313731F9"/>
    <w:rsid w:val="326E639B"/>
    <w:rsid w:val="33D83338"/>
    <w:rsid w:val="355D4FFC"/>
    <w:rsid w:val="3698662D"/>
    <w:rsid w:val="383C05B6"/>
    <w:rsid w:val="384804F3"/>
    <w:rsid w:val="384C2D07"/>
    <w:rsid w:val="388630EE"/>
    <w:rsid w:val="39567FBE"/>
    <w:rsid w:val="398E2FA7"/>
    <w:rsid w:val="39D60703"/>
    <w:rsid w:val="3ACC359F"/>
    <w:rsid w:val="3D5C054A"/>
    <w:rsid w:val="3EC33F22"/>
    <w:rsid w:val="3F157903"/>
    <w:rsid w:val="426D4FD0"/>
    <w:rsid w:val="42A54CB5"/>
    <w:rsid w:val="43BE49FE"/>
    <w:rsid w:val="43FB06BB"/>
    <w:rsid w:val="44A415E3"/>
    <w:rsid w:val="44C238DC"/>
    <w:rsid w:val="45F94949"/>
    <w:rsid w:val="46750C7A"/>
    <w:rsid w:val="46C97CB8"/>
    <w:rsid w:val="48DD3122"/>
    <w:rsid w:val="492E3AB7"/>
    <w:rsid w:val="4981674A"/>
    <w:rsid w:val="49D9236F"/>
    <w:rsid w:val="49E80184"/>
    <w:rsid w:val="4A5A6376"/>
    <w:rsid w:val="4AEA5625"/>
    <w:rsid w:val="4B1E3503"/>
    <w:rsid w:val="4B364503"/>
    <w:rsid w:val="4CD0168C"/>
    <w:rsid w:val="4D315240"/>
    <w:rsid w:val="4E2640B1"/>
    <w:rsid w:val="4E487D96"/>
    <w:rsid w:val="4E695A5E"/>
    <w:rsid w:val="4F2C620E"/>
    <w:rsid w:val="507821C1"/>
    <w:rsid w:val="51FA31B9"/>
    <w:rsid w:val="5231636E"/>
    <w:rsid w:val="52C62D34"/>
    <w:rsid w:val="53114866"/>
    <w:rsid w:val="531279E0"/>
    <w:rsid w:val="531543A7"/>
    <w:rsid w:val="536C207C"/>
    <w:rsid w:val="539F7AD8"/>
    <w:rsid w:val="550757E8"/>
    <w:rsid w:val="556C3765"/>
    <w:rsid w:val="55A51371"/>
    <w:rsid w:val="562E5CEE"/>
    <w:rsid w:val="562F0853"/>
    <w:rsid w:val="56A9299B"/>
    <w:rsid w:val="58346AB4"/>
    <w:rsid w:val="588E2D7A"/>
    <w:rsid w:val="5AB82AE9"/>
    <w:rsid w:val="5B083214"/>
    <w:rsid w:val="5B97563E"/>
    <w:rsid w:val="5C586743"/>
    <w:rsid w:val="5CB8594B"/>
    <w:rsid w:val="5D20273D"/>
    <w:rsid w:val="5EDA625A"/>
    <w:rsid w:val="5EE40C46"/>
    <w:rsid w:val="5F7B6DBB"/>
    <w:rsid w:val="5FDD1915"/>
    <w:rsid w:val="62FB3C81"/>
    <w:rsid w:val="64BC3B60"/>
    <w:rsid w:val="65260E78"/>
    <w:rsid w:val="656732A3"/>
    <w:rsid w:val="6704201A"/>
    <w:rsid w:val="67110EB3"/>
    <w:rsid w:val="6716683E"/>
    <w:rsid w:val="67213BFF"/>
    <w:rsid w:val="67FF5215"/>
    <w:rsid w:val="69C86E11"/>
    <w:rsid w:val="6AF63BD7"/>
    <w:rsid w:val="6B8C1427"/>
    <w:rsid w:val="6BB13F75"/>
    <w:rsid w:val="6BD95244"/>
    <w:rsid w:val="6CB93FB5"/>
    <w:rsid w:val="6E511CD5"/>
    <w:rsid w:val="6E6C7D50"/>
    <w:rsid w:val="6E6E1F47"/>
    <w:rsid w:val="6F33250D"/>
    <w:rsid w:val="702C7CA9"/>
    <w:rsid w:val="70A17F17"/>
    <w:rsid w:val="73357BB9"/>
    <w:rsid w:val="74393F1D"/>
    <w:rsid w:val="76261878"/>
    <w:rsid w:val="76CA6487"/>
    <w:rsid w:val="775A1293"/>
    <w:rsid w:val="775E2757"/>
    <w:rsid w:val="77DD3504"/>
    <w:rsid w:val="7BC446A6"/>
    <w:rsid w:val="7BFA1C7F"/>
    <w:rsid w:val="7C170BD7"/>
    <w:rsid w:val="7C5C2744"/>
    <w:rsid w:val="7CE07322"/>
    <w:rsid w:val="7CF757A1"/>
    <w:rsid w:val="7E140028"/>
    <w:rsid w:val="7EA43064"/>
    <w:rsid w:val="7F2C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Cs/>
      <w:kern w:val="0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1"/>
    <w:qFormat/>
    <w:uiPriority w:val="99"/>
    <w:pPr>
      <w:jc w:val="left"/>
    </w:p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批注文字 Char"/>
    <w:basedOn w:val="8"/>
    <w:link w:val="4"/>
    <w:semiHidden/>
    <w:qFormat/>
    <w:uiPriority w:val="99"/>
    <w:rPr>
      <w:szCs w:val="24"/>
    </w:rPr>
  </w:style>
  <w:style w:type="character" w:customStyle="1" w:styleId="12">
    <w:name w:val="页脚 Char"/>
    <w:basedOn w:val="8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眉 Char"/>
    <w:basedOn w:val="8"/>
    <w:link w:val="6"/>
    <w:qFormat/>
    <w:locked/>
    <w:uiPriority w:val="99"/>
    <w:rPr>
      <w:rFonts w:cs="Times New Roman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fontstyle21"/>
    <w:qFormat/>
    <w:uiPriority w:val="0"/>
    <w:rPr>
      <w:rFonts w:ascii="仿宋_GB2312" w:eastAsia="仿宋_GB2312" w:cs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10A836-FDD2-471F-B073-4E1D730F89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626</Words>
  <Characters>3572</Characters>
  <Lines>29</Lines>
  <Paragraphs>8</Paragraphs>
  <TotalTime>49</TotalTime>
  <ScaleCrop>false</ScaleCrop>
  <LinksUpToDate>false</LinksUpToDate>
  <CharactersWithSpaces>4190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2016-11-09T08:49:00Z</dcterms:created>
  <dc:creator>Administrator</dc:creator>
  <cp:lastModifiedBy>小瓶子</cp:lastModifiedBy>
  <cp:lastPrinted>2016-11-04T09:30:00Z</cp:lastPrinted>
  <dcterms:modified xsi:type="dcterms:W3CDTF">2020-05-18T11:09:21Z</dcterms:modified>
  <dc:title>附件2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